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A0147" w14:textId="77777777" w:rsidR="001F19F1" w:rsidRPr="00B21A3A" w:rsidRDefault="001F19F1" w:rsidP="001F19F1">
      <w:pPr>
        <w:pStyle w:val="Heading2"/>
        <w:spacing w:before="0"/>
        <w:jc w:val="both"/>
        <w:rPr>
          <w:rFonts w:ascii="Times New Roman" w:hAnsi="Times New Roman" w:cs="Times New Roman"/>
          <w:b/>
          <w:color w:val="auto"/>
          <w:lang w:val="vi-VN"/>
        </w:rPr>
      </w:pPr>
      <w:bookmarkStart w:id="0" w:name="_Toc166442842"/>
      <w:r w:rsidRPr="00B21A3A">
        <w:rPr>
          <w:rFonts w:ascii="Times New Roman" w:hAnsi="Times New Roman" w:cs="Times New Roman"/>
          <w:b/>
          <w:color w:val="auto"/>
          <w:sz w:val="24"/>
          <w:szCs w:val="24"/>
          <w:lang w:val="vi-VN"/>
        </w:rPr>
        <w:t>114. THUỐC TRỪ CỎ</w:t>
      </w:r>
      <w:bookmarkEnd w:id="0"/>
      <w:r w:rsidRPr="00B21A3A">
        <w:rPr>
          <w:rFonts w:ascii="Times New Roman" w:hAnsi="Times New Roman" w:cs="Times New Roman"/>
          <w:b/>
          <w:color w:val="auto"/>
          <w:lang w:val="vi-VN"/>
        </w:rPr>
        <w:t xml:space="preserve"> </w:t>
      </w:r>
    </w:p>
    <w:p w14:paraId="406FC8E0" w14:textId="77777777" w:rsidR="001F19F1" w:rsidRPr="00A41E7B" w:rsidRDefault="001F19F1" w:rsidP="001F19F1">
      <w:pPr>
        <w:jc w:val="both"/>
        <w:rPr>
          <w:sz w:val="28"/>
          <w:lang w:val="vi-VN"/>
        </w:rPr>
      </w:pPr>
      <w:r w:rsidRPr="00B21A3A">
        <w:rPr>
          <w:sz w:val="28"/>
          <w:lang w:val="vi-VN"/>
        </w:rPr>
        <w:t>dùng để trừ các loài thực vật cản trở sinh trưởng của cây trồng, các thực vật mọc hoang dại xung quanh các công trình kiến trúc, sân bay, đường sắt, v.v., TTC gồm thuốc trừ rong rêu trên ruộng nước, trên kênh mương hoặc các mục đích diệt cỏ khác.</w:t>
      </w:r>
    </w:p>
    <w:p w14:paraId="1B7A092D" w14:textId="77777777" w:rsidR="001F19F1" w:rsidRPr="00AC327C" w:rsidRDefault="001F19F1" w:rsidP="001F19F1">
      <w:pPr>
        <w:ind w:firstLine="720"/>
        <w:jc w:val="both"/>
        <w:rPr>
          <w:sz w:val="28"/>
          <w:lang w:val="vi-VN"/>
        </w:rPr>
      </w:pPr>
      <w:r w:rsidRPr="00AC327C">
        <w:rPr>
          <w:sz w:val="28"/>
          <w:lang w:val="vi-VN"/>
        </w:rPr>
        <w:t>TTC có thành phần là các hợp chất vô cơ hoặc các hợp chất hữu cơ thuộc các nhóm thuốc khác nhau. TTC sinh học là những thuốc chứa độc tố thực vật, các hợp chất có nguồn gốc thực vật, vi sinh vật gây bệnh thực vật và các vi sinh vật khác được sử dụng trong phòng chống sinh học cỏ dại.</w:t>
      </w:r>
    </w:p>
    <w:p w14:paraId="33BEC7FC" w14:textId="77777777" w:rsidR="001F19F1" w:rsidRPr="00AC327C" w:rsidRDefault="001F19F1" w:rsidP="001F19F1">
      <w:pPr>
        <w:ind w:firstLine="720"/>
        <w:jc w:val="both"/>
        <w:rPr>
          <w:b/>
          <w:sz w:val="28"/>
          <w:lang w:val="vi-VN"/>
        </w:rPr>
      </w:pPr>
      <w:r w:rsidRPr="00AC327C">
        <w:rPr>
          <w:sz w:val="28"/>
          <w:lang w:val="vi-VN"/>
        </w:rPr>
        <w:t xml:space="preserve">TTC nằm trong </w:t>
      </w:r>
      <w:r w:rsidRPr="006B497E">
        <w:rPr>
          <w:sz w:val="28"/>
          <w:lang w:val="vi-VN"/>
        </w:rPr>
        <w:t>d</w:t>
      </w:r>
      <w:r w:rsidRPr="00AC327C">
        <w:rPr>
          <w:sz w:val="28"/>
          <w:lang w:val="vi-VN"/>
        </w:rPr>
        <w:t>anh mục các thuốc bảo vệ thực vật được sử dụng ở Việt Nam do Bộ Nông nghiệp và Phát triển nông thôn quy định và công bố h</w:t>
      </w:r>
      <w:r w:rsidRPr="00937F4C">
        <w:rPr>
          <w:sz w:val="28"/>
          <w:lang w:val="vi-VN"/>
        </w:rPr>
        <w:t>ằ</w:t>
      </w:r>
      <w:r w:rsidRPr="00AC327C">
        <w:rPr>
          <w:sz w:val="28"/>
          <w:lang w:val="vi-VN"/>
        </w:rPr>
        <w:t>ng năm</w:t>
      </w:r>
      <w:r w:rsidRPr="006B497E">
        <w:rPr>
          <w:sz w:val="28"/>
          <w:lang w:val="vi-VN"/>
        </w:rPr>
        <w:t xml:space="preserve">, </w:t>
      </w:r>
      <w:r w:rsidRPr="00AC327C">
        <w:rPr>
          <w:sz w:val="28"/>
          <w:lang w:val="vi-VN"/>
        </w:rPr>
        <w:t xml:space="preserve">được Cục Bảo vệ thực vật thuộc Bộ </w:t>
      </w:r>
      <w:r w:rsidRPr="006B497E">
        <w:rPr>
          <w:sz w:val="28"/>
          <w:lang w:val="vi-VN"/>
        </w:rPr>
        <w:t>N</w:t>
      </w:r>
      <w:r w:rsidRPr="00AC327C">
        <w:rPr>
          <w:sz w:val="28"/>
          <w:lang w:val="vi-VN"/>
        </w:rPr>
        <w:t xml:space="preserve">ông nghiệp và Phát triển nông thôn cấp giấy phép đăng ký. </w:t>
      </w:r>
    </w:p>
    <w:p w14:paraId="390AD0B6" w14:textId="77777777" w:rsidR="001F19F1" w:rsidRPr="006B497E" w:rsidRDefault="001F19F1" w:rsidP="001F19F1">
      <w:pPr>
        <w:ind w:firstLine="720"/>
        <w:jc w:val="both"/>
        <w:rPr>
          <w:sz w:val="28"/>
          <w:lang w:val="vi-VN"/>
        </w:rPr>
      </w:pPr>
      <w:r w:rsidRPr="00AC327C">
        <w:rPr>
          <w:sz w:val="28"/>
          <w:lang w:val="vi-VN"/>
        </w:rPr>
        <w:t xml:space="preserve">TTC được phân loại theo các nhóm khác nhau dựa vào thành phần hóa học, đặc điểm tác động, cơ chế tác động, phương pháp xử lý, thời điểm xử lý và đối tượng cỏ dại cần phòng trừ của thuốc. </w:t>
      </w:r>
      <w:r w:rsidRPr="006B497E">
        <w:rPr>
          <w:sz w:val="28"/>
          <w:lang w:val="vi-VN"/>
        </w:rPr>
        <w:t>TTC</w:t>
      </w:r>
      <w:r w:rsidRPr="00AC327C">
        <w:rPr>
          <w:sz w:val="28"/>
          <w:lang w:val="vi-VN"/>
        </w:rPr>
        <w:t xml:space="preserve"> </w:t>
      </w:r>
      <w:r w:rsidRPr="006B497E">
        <w:rPr>
          <w:sz w:val="28"/>
          <w:lang w:val="vi-VN"/>
        </w:rPr>
        <w:t xml:space="preserve">gồm các nhóm </w:t>
      </w:r>
      <w:r w:rsidRPr="00AC327C">
        <w:rPr>
          <w:sz w:val="28"/>
          <w:lang w:val="vi-VN"/>
        </w:rPr>
        <w:t>chính</w:t>
      </w:r>
      <w:r w:rsidRPr="006B497E">
        <w:rPr>
          <w:sz w:val="28"/>
          <w:lang w:val="vi-VN"/>
        </w:rPr>
        <w:t xml:space="preserve"> sau</w:t>
      </w:r>
      <w:r w:rsidRPr="00AC327C">
        <w:rPr>
          <w:sz w:val="28"/>
          <w:lang w:val="vi-VN"/>
        </w:rPr>
        <w:t xml:space="preserve">: </w:t>
      </w:r>
    </w:p>
    <w:p w14:paraId="6EF59880" w14:textId="77777777" w:rsidR="001F19F1" w:rsidRPr="00AC327C" w:rsidRDefault="001F19F1" w:rsidP="001F19F1">
      <w:pPr>
        <w:ind w:firstLine="720"/>
        <w:jc w:val="both"/>
        <w:rPr>
          <w:spacing w:val="-2"/>
          <w:sz w:val="28"/>
          <w:lang w:val="vi-VN"/>
        </w:rPr>
      </w:pPr>
      <w:r w:rsidRPr="00AC327C">
        <w:rPr>
          <w:i/>
          <w:iCs/>
          <w:spacing w:val="-2"/>
          <w:sz w:val="28"/>
          <w:lang w:val="vi-VN"/>
        </w:rPr>
        <w:t>Dựa vào đặc điểm tác động khác nhau đến thực vật</w:t>
      </w:r>
      <w:r w:rsidRPr="00AC327C">
        <w:rPr>
          <w:spacing w:val="-2"/>
          <w:sz w:val="28"/>
          <w:lang w:val="vi-VN"/>
        </w:rPr>
        <w:t>, chia</w:t>
      </w:r>
      <w:r w:rsidRPr="006B497E">
        <w:rPr>
          <w:spacing w:val="-2"/>
          <w:sz w:val="28"/>
          <w:lang w:val="vi-VN"/>
        </w:rPr>
        <w:t xml:space="preserve"> thành</w:t>
      </w:r>
      <w:r w:rsidRPr="00AC327C">
        <w:rPr>
          <w:spacing w:val="-2"/>
          <w:sz w:val="28"/>
          <w:lang w:val="vi-VN"/>
        </w:rPr>
        <w:t xml:space="preserve">: 1) TTC có tác dụng chọn lọc: </w:t>
      </w:r>
      <w:r w:rsidRPr="006B497E">
        <w:rPr>
          <w:spacing w:val="-2"/>
          <w:sz w:val="28"/>
          <w:lang w:val="vi-VN"/>
        </w:rPr>
        <w:t>những</w:t>
      </w:r>
      <w:r w:rsidRPr="00AC327C">
        <w:rPr>
          <w:spacing w:val="-2"/>
          <w:sz w:val="28"/>
          <w:lang w:val="vi-VN"/>
        </w:rPr>
        <w:t xml:space="preserve"> thuốc dùng trong những điều kiện nhất định, chỉ diệt hoặc làm ngưng sinh trưởng đối với một số loài thực vật</w:t>
      </w:r>
      <w:r w:rsidRPr="006B497E">
        <w:rPr>
          <w:spacing w:val="-2"/>
          <w:sz w:val="28"/>
          <w:lang w:val="vi-VN"/>
        </w:rPr>
        <w:t xml:space="preserve">, </w:t>
      </w:r>
      <w:r w:rsidRPr="00AC327C">
        <w:rPr>
          <w:spacing w:val="-2"/>
          <w:sz w:val="28"/>
          <w:lang w:val="vi-VN"/>
        </w:rPr>
        <w:t xml:space="preserve">không hoặc rất ít ảnh hưởng đến các loài thực vật khác; 2) </w:t>
      </w:r>
      <w:r w:rsidRPr="006B497E">
        <w:rPr>
          <w:spacing w:val="-2"/>
          <w:sz w:val="28"/>
          <w:lang w:val="vi-VN"/>
        </w:rPr>
        <w:t>TTC</w:t>
      </w:r>
      <w:r w:rsidRPr="00AC327C">
        <w:rPr>
          <w:spacing w:val="-2"/>
          <w:sz w:val="28"/>
          <w:lang w:val="vi-VN"/>
        </w:rPr>
        <w:t xml:space="preserve"> không có tác động chọn lọc: </w:t>
      </w:r>
      <w:r w:rsidRPr="006B497E">
        <w:rPr>
          <w:spacing w:val="-2"/>
          <w:sz w:val="28"/>
          <w:lang w:val="vi-VN"/>
        </w:rPr>
        <w:t xml:space="preserve">những </w:t>
      </w:r>
      <w:r w:rsidRPr="00AC327C">
        <w:rPr>
          <w:spacing w:val="-2"/>
          <w:sz w:val="28"/>
          <w:lang w:val="vi-VN"/>
        </w:rPr>
        <w:t>thuốc trừ cỏ khi sử dụng gây độc cho tất cả các loài thực vật, không phân biệt loài cây</w:t>
      </w:r>
      <w:r w:rsidRPr="006B497E">
        <w:rPr>
          <w:spacing w:val="-2"/>
          <w:sz w:val="28"/>
          <w:lang w:val="vi-VN"/>
        </w:rPr>
        <w:t>;</w:t>
      </w:r>
    </w:p>
    <w:p w14:paraId="5EE86427" w14:textId="77777777" w:rsidR="001F19F1" w:rsidRPr="00AC327C" w:rsidRDefault="001F19F1" w:rsidP="001F19F1">
      <w:pPr>
        <w:ind w:firstLine="720"/>
        <w:jc w:val="both"/>
        <w:rPr>
          <w:sz w:val="28"/>
          <w:lang w:val="vi-VN"/>
        </w:rPr>
      </w:pPr>
      <w:r w:rsidRPr="00AC327C">
        <w:rPr>
          <w:i/>
          <w:iCs/>
          <w:sz w:val="28"/>
          <w:lang w:val="vi-VN"/>
        </w:rPr>
        <w:t xml:space="preserve">Dựa vào cơ chế tác động của </w:t>
      </w:r>
      <w:r w:rsidRPr="006B497E">
        <w:rPr>
          <w:i/>
          <w:iCs/>
          <w:sz w:val="28"/>
          <w:lang w:val="vi-VN"/>
        </w:rPr>
        <w:t>TTC</w:t>
      </w:r>
      <w:r w:rsidRPr="00AC327C">
        <w:rPr>
          <w:i/>
          <w:iCs/>
          <w:sz w:val="28"/>
          <w:lang w:val="vi-VN"/>
        </w:rPr>
        <w:t xml:space="preserve"> với thực vật</w:t>
      </w:r>
      <w:r w:rsidRPr="00AC327C">
        <w:rPr>
          <w:sz w:val="28"/>
          <w:lang w:val="vi-VN"/>
        </w:rPr>
        <w:t xml:space="preserve">, phân chia: 1) TTC tiếp xúc: thuốc chỉ gây tác tác động hủy diệt hạn định ở những chỗ thuốc tiếp xúc với thực vật; 2) </w:t>
      </w:r>
      <w:r w:rsidRPr="006B497E">
        <w:rPr>
          <w:sz w:val="28"/>
          <w:lang w:val="vi-VN"/>
        </w:rPr>
        <w:t>TTC</w:t>
      </w:r>
      <w:r w:rsidRPr="00AC327C">
        <w:rPr>
          <w:sz w:val="28"/>
          <w:lang w:val="vi-VN"/>
        </w:rPr>
        <w:t xml:space="preserve"> nội hấp (lưu dẫn): thuốc khi xâm nhập vào bên trong cây có thể dịch chuyển, lan truyền đi khắp cây, gây ra tác động hủy diệt </w:t>
      </w:r>
      <w:r w:rsidRPr="006B497E">
        <w:rPr>
          <w:sz w:val="28"/>
          <w:lang w:val="vi-VN"/>
        </w:rPr>
        <w:t xml:space="preserve">ở </w:t>
      </w:r>
      <w:r w:rsidRPr="00AC327C">
        <w:rPr>
          <w:sz w:val="28"/>
          <w:lang w:val="vi-VN"/>
        </w:rPr>
        <w:t>cả những nơi xa chỗ tiếp xúc của thuốc với thực vật</w:t>
      </w:r>
      <w:r w:rsidRPr="006B497E">
        <w:rPr>
          <w:sz w:val="28"/>
          <w:lang w:val="vi-VN"/>
        </w:rPr>
        <w:t>;</w:t>
      </w:r>
    </w:p>
    <w:p w14:paraId="14571D8A" w14:textId="77777777" w:rsidR="001F19F1" w:rsidRPr="00AC327C" w:rsidRDefault="001F19F1" w:rsidP="001F19F1">
      <w:pPr>
        <w:ind w:firstLine="720"/>
        <w:jc w:val="both"/>
        <w:rPr>
          <w:sz w:val="28"/>
          <w:lang w:val="vi-VN"/>
        </w:rPr>
      </w:pPr>
      <w:r w:rsidRPr="00AC327C">
        <w:rPr>
          <w:i/>
          <w:iCs/>
          <w:sz w:val="28"/>
          <w:lang w:val="vi-VN"/>
        </w:rPr>
        <w:t>Dựa vào cách thức xử lý TTC</w:t>
      </w:r>
      <w:r w:rsidRPr="00AC327C">
        <w:rPr>
          <w:sz w:val="28"/>
          <w:lang w:val="vi-VN"/>
        </w:rPr>
        <w:t>, phân chia</w:t>
      </w:r>
      <w:r w:rsidRPr="006B497E">
        <w:rPr>
          <w:sz w:val="28"/>
          <w:lang w:val="vi-VN"/>
        </w:rPr>
        <w:t>:</w:t>
      </w:r>
      <w:r w:rsidRPr="00AC327C">
        <w:rPr>
          <w:sz w:val="28"/>
          <w:lang w:val="vi-VN"/>
        </w:rPr>
        <w:t xml:space="preserve"> </w:t>
      </w:r>
      <w:r w:rsidRPr="006B497E">
        <w:rPr>
          <w:sz w:val="28"/>
          <w:lang w:val="vi-VN"/>
        </w:rPr>
        <w:t>TTC</w:t>
      </w:r>
      <w:r w:rsidRPr="00AC327C">
        <w:rPr>
          <w:sz w:val="28"/>
          <w:lang w:val="vi-VN"/>
        </w:rPr>
        <w:t xml:space="preserve"> dùng phun lên lá</w:t>
      </w:r>
      <w:r w:rsidRPr="006B497E">
        <w:rPr>
          <w:sz w:val="28"/>
          <w:lang w:val="vi-VN"/>
        </w:rPr>
        <w:t>,</w:t>
      </w:r>
      <w:r w:rsidRPr="00AC327C">
        <w:rPr>
          <w:sz w:val="28"/>
          <w:lang w:val="vi-VN"/>
        </w:rPr>
        <w:t xml:space="preserve"> </w:t>
      </w:r>
      <w:r w:rsidRPr="006B497E">
        <w:rPr>
          <w:sz w:val="28"/>
          <w:lang w:val="vi-VN"/>
        </w:rPr>
        <w:t>TTC</w:t>
      </w:r>
      <w:r w:rsidRPr="00AC327C">
        <w:rPr>
          <w:sz w:val="28"/>
          <w:lang w:val="vi-VN"/>
        </w:rPr>
        <w:t xml:space="preserve"> dùng xử lý đất</w:t>
      </w:r>
      <w:r w:rsidRPr="006B497E">
        <w:rPr>
          <w:sz w:val="28"/>
          <w:lang w:val="vi-VN"/>
        </w:rPr>
        <w:t>;</w:t>
      </w:r>
    </w:p>
    <w:p w14:paraId="6D14E3CA" w14:textId="77777777" w:rsidR="001F19F1" w:rsidRPr="00AC327C" w:rsidRDefault="001F19F1" w:rsidP="001F19F1">
      <w:pPr>
        <w:ind w:firstLine="720"/>
        <w:jc w:val="both"/>
        <w:rPr>
          <w:sz w:val="28"/>
          <w:lang w:val="vi-VN"/>
        </w:rPr>
      </w:pPr>
      <w:r w:rsidRPr="006B497E">
        <w:rPr>
          <w:i/>
          <w:iCs/>
          <w:sz w:val="28"/>
          <w:lang w:val="vi-VN"/>
        </w:rPr>
        <w:t xml:space="preserve">Dựa vào </w:t>
      </w:r>
      <w:r w:rsidRPr="00AC327C">
        <w:rPr>
          <w:i/>
          <w:iCs/>
          <w:sz w:val="28"/>
          <w:lang w:val="vi-VN"/>
        </w:rPr>
        <w:t>sinh trưởng của cỏ làm mốc</w:t>
      </w:r>
      <w:r w:rsidRPr="006B497E">
        <w:rPr>
          <w:sz w:val="28"/>
          <w:lang w:val="vi-VN"/>
        </w:rPr>
        <w:t xml:space="preserve">, </w:t>
      </w:r>
      <w:r w:rsidRPr="00AC327C">
        <w:rPr>
          <w:sz w:val="28"/>
          <w:lang w:val="vi-VN"/>
        </w:rPr>
        <w:t>chia thành: TTC dùng trước khi cỏ mọc (TTC tiền nảy mầm)</w:t>
      </w:r>
      <w:r w:rsidRPr="006B497E">
        <w:rPr>
          <w:sz w:val="28"/>
          <w:lang w:val="vi-VN"/>
        </w:rPr>
        <w:t>,</w:t>
      </w:r>
      <w:r w:rsidRPr="00AC327C">
        <w:rPr>
          <w:sz w:val="28"/>
          <w:lang w:val="vi-VN"/>
        </w:rPr>
        <w:t xml:space="preserve"> TTC dùng sau cỏ mọc (TTC hậu nảy mầm)</w:t>
      </w:r>
      <w:r w:rsidRPr="006B497E">
        <w:rPr>
          <w:sz w:val="28"/>
          <w:lang w:val="vi-VN"/>
        </w:rPr>
        <w:t>;</w:t>
      </w:r>
    </w:p>
    <w:p w14:paraId="5573A01D" w14:textId="77777777" w:rsidR="001F19F1" w:rsidRPr="00AC327C" w:rsidRDefault="001F19F1" w:rsidP="001F19F1">
      <w:pPr>
        <w:ind w:firstLine="720"/>
        <w:jc w:val="both"/>
        <w:rPr>
          <w:sz w:val="28"/>
          <w:lang w:val="vi-VN"/>
        </w:rPr>
      </w:pPr>
      <w:r w:rsidRPr="00AC327C">
        <w:rPr>
          <w:i/>
          <w:iCs/>
          <w:sz w:val="28"/>
          <w:lang w:val="vi-VN"/>
        </w:rPr>
        <w:t>Dựa vào đối tượng cỏ dại cần phòng trừ</w:t>
      </w:r>
      <w:r w:rsidRPr="00AC327C">
        <w:rPr>
          <w:sz w:val="28"/>
          <w:lang w:val="vi-VN"/>
        </w:rPr>
        <w:t>, phân chia: TTC lá rộng, TTC hòa thảo, TTC cói lác</w:t>
      </w:r>
      <w:r w:rsidRPr="006B497E">
        <w:rPr>
          <w:sz w:val="28"/>
          <w:lang w:val="vi-VN"/>
        </w:rPr>
        <w:t>,</w:t>
      </w:r>
      <w:r w:rsidRPr="00AC327C">
        <w:rPr>
          <w:sz w:val="28"/>
          <w:lang w:val="vi-VN"/>
        </w:rPr>
        <w:t xml:space="preserve"> TTC diệt cây thân gỗ</w:t>
      </w:r>
      <w:r w:rsidRPr="006B497E">
        <w:rPr>
          <w:sz w:val="28"/>
          <w:lang w:val="vi-VN"/>
        </w:rPr>
        <w:t>.</w:t>
      </w:r>
    </w:p>
    <w:p w14:paraId="4FD24962" w14:textId="77777777" w:rsidR="001F19F1" w:rsidRPr="00AC327C" w:rsidRDefault="001F19F1" w:rsidP="001F19F1">
      <w:pPr>
        <w:ind w:firstLine="720"/>
        <w:jc w:val="both"/>
        <w:rPr>
          <w:sz w:val="28"/>
          <w:lang w:val="vi-VN"/>
        </w:rPr>
      </w:pPr>
      <w:r w:rsidRPr="00AC327C">
        <w:rPr>
          <w:sz w:val="28"/>
          <w:lang w:val="vi-VN"/>
        </w:rPr>
        <w:t xml:space="preserve">Về thời điểm xử lý </w:t>
      </w:r>
      <w:r w:rsidRPr="006B497E">
        <w:rPr>
          <w:sz w:val="28"/>
          <w:lang w:val="vi-VN"/>
        </w:rPr>
        <w:t>TTC,</w:t>
      </w:r>
      <w:r w:rsidRPr="00AC327C">
        <w:rPr>
          <w:sz w:val="28"/>
          <w:lang w:val="vi-VN"/>
        </w:rPr>
        <w:t xml:space="preserve"> nếu lấy thời gian gieo cây trồng làm mốc thì</w:t>
      </w:r>
      <w:r>
        <w:rPr>
          <w:sz w:val="28"/>
          <w:lang w:val="vi-VN"/>
        </w:rPr>
        <w:t xml:space="preserve">  </w:t>
      </w:r>
      <w:r w:rsidRPr="00AC327C">
        <w:rPr>
          <w:sz w:val="28"/>
          <w:lang w:val="vi-VN"/>
        </w:rPr>
        <w:t>có thể dùng vào các thời kỳ sau: trước khi gieo cấy</w:t>
      </w:r>
      <w:r w:rsidRPr="006B497E">
        <w:rPr>
          <w:sz w:val="28"/>
          <w:lang w:val="vi-VN"/>
        </w:rPr>
        <w:t>,</w:t>
      </w:r>
      <w:r w:rsidRPr="00AC327C">
        <w:rPr>
          <w:sz w:val="28"/>
          <w:lang w:val="vi-VN"/>
        </w:rPr>
        <w:t xml:space="preserve"> ngay sau khi gieo hạt</w:t>
      </w:r>
      <w:r w:rsidRPr="006B497E">
        <w:rPr>
          <w:sz w:val="28"/>
          <w:lang w:val="vi-VN"/>
        </w:rPr>
        <w:t>,</w:t>
      </w:r>
      <w:r w:rsidRPr="00AC327C">
        <w:rPr>
          <w:sz w:val="28"/>
          <w:lang w:val="vi-VN"/>
        </w:rPr>
        <w:t xml:space="preserve"> trong giai đoạn</w:t>
      </w:r>
      <w:r>
        <w:rPr>
          <w:sz w:val="28"/>
          <w:lang w:val="vi-VN"/>
        </w:rPr>
        <w:t xml:space="preserve">  </w:t>
      </w:r>
      <w:r w:rsidRPr="00AC327C">
        <w:rPr>
          <w:sz w:val="28"/>
          <w:lang w:val="vi-VN"/>
        </w:rPr>
        <w:t>cây trồng đang sinh trưởng</w:t>
      </w:r>
      <w:r w:rsidRPr="006B497E">
        <w:rPr>
          <w:sz w:val="28"/>
          <w:lang w:val="vi-VN"/>
        </w:rPr>
        <w:t>,</w:t>
      </w:r>
      <w:r w:rsidRPr="00AC327C">
        <w:rPr>
          <w:sz w:val="28"/>
          <w:lang w:val="vi-VN"/>
        </w:rPr>
        <w:t xml:space="preserve"> dùng sau khi thu hoạch</w:t>
      </w:r>
      <w:r w:rsidRPr="006B497E">
        <w:rPr>
          <w:sz w:val="28"/>
          <w:lang w:val="vi-VN"/>
        </w:rPr>
        <w:t>.</w:t>
      </w:r>
    </w:p>
    <w:p w14:paraId="51560E11" w14:textId="77777777" w:rsidR="001F19F1" w:rsidRPr="00AC327C" w:rsidRDefault="001F19F1" w:rsidP="001F19F1">
      <w:pPr>
        <w:keepNext/>
        <w:keepLines/>
        <w:tabs>
          <w:tab w:val="left" w:pos="142"/>
        </w:tabs>
        <w:jc w:val="right"/>
        <w:rPr>
          <w:b/>
          <w:lang w:val="cs-CZ"/>
        </w:rPr>
      </w:pPr>
      <w:r w:rsidRPr="00AC327C">
        <w:rPr>
          <w:b/>
          <w:lang w:val="cs-CZ"/>
        </w:rPr>
        <w:t>NGUYỄN VĂN LIÊM</w:t>
      </w:r>
    </w:p>
    <w:p w14:paraId="6D66775E" w14:textId="77777777" w:rsidR="001F19F1" w:rsidRPr="00AC327C" w:rsidRDefault="001F19F1" w:rsidP="001F19F1">
      <w:pPr>
        <w:keepNext/>
        <w:keepLines/>
        <w:tabs>
          <w:tab w:val="left" w:pos="142"/>
        </w:tabs>
        <w:jc w:val="both"/>
        <w:rPr>
          <w:b/>
          <w:lang w:val="cs-CZ"/>
        </w:rPr>
      </w:pPr>
      <w:r w:rsidRPr="00AC327C">
        <w:rPr>
          <w:b/>
          <w:lang w:val="cs-CZ"/>
        </w:rPr>
        <w:t>Tài liệu tham khảo</w:t>
      </w:r>
    </w:p>
    <w:p w14:paraId="0EFE3F26" w14:textId="77777777" w:rsidR="001F19F1" w:rsidRPr="00AC327C" w:rsidRDefault="001F19F1" w:rsidP="001F19F1">
      <w:pPr>
        <w:ind w:left="284" w:hanging="284"/>
        <w:jc w:val="both"/>
        <w:rPr>
          <w:lang w:val="vi-VN"/>
        </w:rPr>
      </w:pPr>
      <w:r w:rsidRPr="006B497E">
        <w:rPr>
          <w:lang w:val="cs-CZ"/>
        </w:rPr>
        <w:t>1</w:t>
      </w:r>
      <w:r w:rsidRPr="00AC327C">
        <w:rPr>
          <w:lang w:val="vi-VN"/>
        </w:rPr>
        <w:t>. Đường Hồng Dật (Chủ biên)</w:t>
      </w:r>
      <w:r w:rsidRPr="006B497E">
        <w:rPr>
          <w:lang w:val="cs-CZ"/>
        </w:rPr>
        <w:t xml:space="preserve">, </w:t>
      </w:r>
      <w:r w:rsidRPr="00AC327C">
        <w:rPr>
          <w:i/>
          <w:lang w:val="vi-VN"/>
        </w:rPr>
        <w:t xml:space="preserve">Từ điển bách khoa </w:t>
      </w:r>
      <w:r w:rsidRPr="006B497E">
        <w:rPr>
          <w:i/>
          <w:lang w:val="cs-CZ"/>
        </w:rPr>
        <w:t>B</w:t>
      </w:r>
      <w:r w:rsidRPr="00AC327C">
        <w:rPr>
          <w:i/>
          <w:lang w:val="vi-VN"/>
        </w:rPr>
        <w:t>ảo vệ thực vật</w:t>
      </w:r>
      <w:r w:rsidRPr="006B497E">
        <w:rPr>
          <w:lang w:val="cs-CZ"/>
        </w:rPr>
        <w:t>,</w:t>
      </w:r>
      <w:r w:rsidRPr="00AC327C">
        <w:rPr>
          <w:lang w:val="vi-VN"/>
        </w:rPr>
        <w:t xml:space="preserve"> N</w:t>
      </w:r>
      <w:r w:rsidRPr="006B497E">
        <w:rPr>
          <w:lang w:val="cs-CZ"/>
        </w:rPr>
        <w:t>xb.</w:t>
      </w:r>
      <w:r w:rsidRPr="00AC327C">
        <w:rPr>
          <w:lang w:val="vi-VN"/>
        </w:rPr>
        <w:t xml:space="preserve"> Nông nghiệp, Hà Nội, 1996.</w:t>
      </w:r>
    </w:p>
    <w:p w14:paraId="4AC93ACB" w14:textId="77777777" w:rsidR="001F19F1" w:rsidRPr="00AC327C" w:rsidRDefault="001F19F1" w:rsidP="001F19F1">
      <w:pPr>
        <w:ind w:left="284" w:hanging="284"/>
        <w:jc w:val="both"/>
        <w:rPr>
          <w:lang w:val="vi-VN"/>
        </w:rPr>
      </w:pPr>
      <w:r w:rsidRPr="00AC327C">
        <w:rPr>
          <w:lang w:val="cs-CZ"/>
        </w:rPr>
        <w:t xml:space="preserve">2. Nguyễn Trần Oánh, Nguyễn Văn Viên, </w:t>
      </w:r>
      <w:r w:rsidRPr="00AC327C">
        <w:rPr>
          <w:i/>
          <w:lang w:val="cs-CZ"/>
        </w:rPr>
        <w:t>Giáo trình Hóa bảo vệ thực vật</w:t>
      </w:r>
      <w:r w:rsidRPr="00AC327C">
        <w:rPr>
          <w:lang w:val="cs-CZ"/>
        </w:rPr>
        <w:t xml:space="preserve">, Trường Đại học Nông ngiệp I, Hà Nội, </w:t>
      </w:r>
      <w:r w:rsidRPr="00AC327C">
        <w:rPr>
          <w:lang w:val="vi-VN"/>
        </w:rPr>
        <w:t>2004.</w:t>
      </w:r>
    </w:p>
    <w:p w14:paraId="24E15B1C" w14:textId="77777777" w:rsidR="001F19F1" w:rsidRPr="006B497E" w:rsidRDefault="001F19F1" w:rsidP="001F19F1">
      <w:pPr>
        <w:ind w:left="284" w:hanging="284"/>
        <w:jc w:val="both"/>
        <w:rPr>
          <w:lang w:val="vi-VN"/>
        </w:rPr>
      </w:pPr>
      <w:r w:rsidRPr="00AC327C">
        <w:rPr>
          <w:lang w:val="vi-VN"/>
        </w:rPr>
        <w:t xml:space="preserve">3. Angélica Rossana Castro de Souza, Daiana Bortoluzzi Baldoni, Jessica Lima, Vitória Porto, Camila Marcuz, Carolina Machado, Rafael Camargo Ferraz, Raquel C. Kuhn, Rodrigo J.S. </w:t>
      </w:r>
      <w:r w:rsidRPr="00AC327C">
        <w:rPr>
          <w:lang w:val="vi-VN"/>
        </w:rPr>
        <w:lastRenderedPageBreak/>
        <w:t>Jacques, Jerson V.C. Guedes, Marcio A. Mazutti</w:t>
      </w:r>
      <w:r w:rsidRPr="006B497E">
        <w:rPr>
          <w:lang w:val="vi-VN"/>
        </w:rPr>
        <w:t>,</w:t>
      </w:r>
      <w:r w:rsidRPr="00AC327C">
        <w:rPr>
          <w:lang w:val="vi-VN"/>
        </w:rPr>
        <w:t xml:space="preserve"> </w:t>
      </w:r>
      <w:r w:rsidRPr="00DC5133">
        <w:rPr>
          <w:i/>
          <w:iCs/>
          <w:lang w:val="vi-VN"/>
        </w:rPr>
        <w:t>Selection, solation, and identification of fungi for bioherbicide production</w:t>
      </w:r>
      <w:r w:rsidRPr="006B497E">
        <w:rPr>
          <w:i/>
          <w:lang w:val="vi-VN"/>
        </w:rPr>
        <w:t>,</w:t>
      </w:r>
      <w:r w:rsidRPr="006B497E">
        <w:rPr>
          <w:lang w:val="vi-VN"/>
        </w:rPr>
        <w:t xml:space="preserve"> </w:t>
      </w:r>
      <w:r w:rsidRPr="00DC5133">
        <w:rPr>
          <w:lang w:val="vi-VN"/>
        </w:rPr>
        <w:t>Brazilian Journal of Microbiology</w:t>
      </w:r>
      <w:r w:rsidRPr="006B497E">
        <w:rPr>
          <w:lang w:val="vi-VN"/>
        </w:rPr>
        <w:t xml:space="preserve">: Vol 48, Issue 1, </w:t>
      </w:r>
      <w:r w:rsidRPr="00AC327C">
        <w:rPr>
          <w:lang w:val="vi-VN"/>
        </w:rPr>
        <w:t>2017</w:t>
      </w:r>
      <w:r w:rsidRPr="006B497E">
        <w:rPr>
          <w:lang w:val="vi-VN"/>
        </w:rPr>
        <w:t>, p. 101 - 108.</w:t>
      </w:r>
    </w:p>
    <w:p w14:paraId="74710115" w14:textId="77777777" w:rsidR="001F19F1" w:rsidRPr="00AC327C" w:rsidRDefault="001F19F1" w:rsidP="001F19F1">
      <w:pPr>
        <w:ind w:left="284" w:hanging="284"/>
        <w:jc w:val="both"/>
        <w:rPr>
          <w:lang w:val="vi-VN"/>
        </w:rPr>
      </w:pPr>
      <w:r w:rsidRPr="00AC327C">
        <w:rPr>
          <w:lang w:val="vi-VN"/>
        </w:rPr>
        <w:t>4</w:t>
      </w:r>
      <w:r w:rsidRPr="00AC327C">
        <w:t xml:space="preserve">. Harsha KN., Nitis B., Surinder SR., </w:t>
      </w:r>
      <w:r w:rsidRPr="00AC327C">
        <w:rPr>
          <w:i/>
        </w:rPr>
        <w:t>Bio-herbicide.</w:t>
      </w:r>
      <w:r w:rsidRPr="00AC327C">
        <w:t xml:space="preserve"> Presentation. </w:t>
      </w:r>
      <w:hyperlink r:id="rId4" w:history="1">
        <w:r w:rsidRPr="00AC327C">
          <w:rPr>
            <w:rStyle w:val="Hyperlink"/>
            <w:rFonts w:eastAsiaTheme="majorEastAsia"/>
            <w:color w:val="auto"/>
          </w:rPr>
          <w:t>https://www.researchgate.net/publication/322851277.DOI:10.13140/RG.2.2.12202.31681</w:t>
        </w:r>
      </w:hyperlink>
      <w:r w:rsidRPr="00AC327C">
        <w:t xml:space="preserve">, </w:t>
      </w:r>
      <w:r w:rsidRPr="00AC327C">
        <w:rPr>
          <w:lang w:val="vi-VN"/>
        </w:rPr>
        <w:t>2018.</w:t>
      </w:r>
    </w:p>
    <w:p w14:paraId="2E438083" w14:textId="77777777" w:rsidR="001F19F1" w:rsidRPr="00AC327C" w:rsidRDefault="001F19F1" w:rsidP="001F19F1">
      <w:pPr>
        <w:ind w:left="284" w:hanging="284"/>
        <w:jc w:val="both"/>
        <w:rPr>
          <w:lang w:val="vi-VN"/>
        </w:rPr>
      </w:pPr>
      <w:r w:rsidRPr="00AC327C">
        <w:rPr>
          <w:lang w:val="vi-VN"/>
        </w:rPr>
        <w:t xml:space="preserve">5. </w:t>
      </w:r>
      <w:r w:rsidRPr="00AC327C">
        <w:t xml:space="preserve">Vats, S. 2015, </w:t>
      </w:r>
      <w:r w:rsidRPr="00AC327C">
        <w:rPr>
          <w:i/>
        </w:rPr>
        <w:t>Herbicides: history, classification and genetic manipulation of plants for herbicide resistance</w:t>
      </w:r>
      <w:r w:rsidRPr="00AC327C">
        <w:t xml:space="preserve">, In Lichtfouse, E. (ed.). Sustainable Agriculture Reviews 15. Springer International Publishing, </w:t>
      </w:r>
      <w:r w:rsidRPr="00AC327C">
        <w:rPr>
          <w:lang w:val="vi-VN"/>
        </w:rPr>
        <w:t>2018</w:t>
      </w:r>
      <w:r w:rsidRPr="00AC327C">
        <w:t>, p. 153 - 192.</w:t>
      </w:r>
    </w:p>
    <w:p w14:paraId="58EE910A" w14:textId="77777777" w:rsidR="00000CD6" w:rsidRDefault="00000CD6"/>
    <w:sectPr w:rsidR="0000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F1"/>
    <w:rsid w:val="00000CD6"/>
    <w:rsid w:val="000A6B36"/>
    <w:rsid w:val="001A139D"/>
    <w:rsid w:val="001F19F1"/>
    <w:rsid w:val="006A583F"/>
    <w:rsid w:val="00872111"/>
    <w:rsid w:val="00900E98"/>
    <w:rsid w:val="009C751F"/>
    <w:rsid w:val="00C5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6184"/>
  <w15:chartTrackingRefBased/>
  <w15:docId w15:val="{B7E3A981-68DA-4CE6-B002-FD21E7B7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F1"/>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1F19F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nhideWhenUsed/>
    <w:qFormat/>
    <w:rsid w:val="001F19F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1F19F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1F19F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1F19F1"/>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1F19F1"/>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1F19F1"/>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1F19F1"/>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1F19F1"/>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9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1F19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9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9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9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9F1"/>
    <w:rPr>
      <w:rFonts w:eastAsiaTheme="majorEastAsia" w:cstheme="majorBidi"/>
      <w:color w:val="272727" w:themeColor="text1" w:themeTint="D8"/>
    </w:rPr>
  </w:style>
  <w:style w:type="paragraph" w:styleId="Title">
    <w:name w:val="Title"/>
    <w:basedOn w:val="Normal"/>
    <w:next w:val="Normal"/>
    <w:link w:val="TitleChar"/>
    <w:uiPriority w:val="10"/>
    <w:qFormat/>
    <w:rsid w:val="001F19F1"/>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1F1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9F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1F1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9F1"/>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1F19F1"/>
    <w:rPr>
      <w:i/>
      <w:iCs/>
      <w:color w:val="404040" w:themeColor="text1" w:themeTint="BF"/>
    </w:rPr>
  </w:style>
  <w:style w:type="paragraph" w:styleId="ListParagraph">
    <w:name w:val="List Paragraph"/>
    <w:basedOn w:val="Normal"/>
    <w:uiPriority w:val="34"/>
    <w:qFormat/>
    <w:rsid w:val="001F19F1"/>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1F19F1"/>
    <w:rPr>
      <w:i/>
      <w:iCs/>
      <w:color w:val="2F5496" w:themeColor="accent1" w:themeShade="BF"/>
    </w:rPr>
  </w:style>
  <w:style w:type="paragraph" w:styleId="IntenseQuote">
    <w:name w:val="Intense Quote"/>
    <w:basedOn w:val="Normal"/>
    <w:next w:val="Normal"/>
    <w:link w:val="IntenseQuoteChar"/>
    <w:uiPriority w:val="30"/>
    <w:qFormat/>
    <w:rsid w:val="001F19F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1F19F1"/>
    <w:rPr>
      <w:i/>
      <w:iCs/>
      <w:color w:val="2F5496" w:themeColor="accent1" w:themeShade="BF"/>
    </w:rPr>
  </w:style>
  <w:style w:type="character" w:styleId="IntenseReference">
    <w:name w:val="Intense Reference"/>
    <w:basedOn w:val="DefaultParagraphFont"/>
    <w:uiPriority w:val="32"/>
    <w:qFormat/>
    <w:rsid w:val="001F19F1"/>
    <w:rPr>
      <w:b/>
      <w:bCs/>
      <w:smallCaps/>
      <w:color w:val="2F5496" w:themeColor="accent1" w:themeShade="BF"/>
      <w:spacing w:val="5"/>
    </w:rPr>
  </w:style>
  <w:style w:type="character" w:styleId="Hyperlink">
    <w:name w:val="Hyperlink"/>
    <w:basedOn w:val="DefaultParagraphFont"/>
    <w:uiPriority w:val="99"/>
    <w:unhideWhenUsed/>
    <w:rsid w:val="001F19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earchgate.net/publication/322851277.DOI:10.13140/RG.2.2.12202.316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2025-11-26T14:35:00Z</dcterms:created>
  <dcterms:modified xsi:type="dcterms:W3CDTF">2025-11-26T14:36:00Z</dcterms:modified>
</cp:coreProperties>
</file>